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FA9" w:rsidRDefault="00FF5FA9" w:rsidP="00FF5FA9">
      <w:bookmarkStart w:id="0" w:name="_GoBack"/>
      <w:bookmarkEnd w:id="0"/>
      <w:r>
        <w:t>Abstract</w:t>
      </w:r>
    </w:p>
    <w:p w:rsidR="00FF5FA9" w:rsidRDefault="00FF5FA9" w:rsidP="00FF5FA9">
      <w:r>
        <w:t xml:space="preserve">Background </w:t>
      </w:r>
    </w:p>
    <w:p w:rsidR="00FF5FA9" w:rsidRDefault="00FF5FA9" w:rsidP="00FF5FA9">
      <w:r>
        <w:t>Selective cyclooxygenase-2 inhibitors and conventional non-selective non-steroidal anti-inflammatory drugs (</w:t>
      </w:r>
      <w:proofErr w:type="spellStart"/>
      <w:r>
        <w:t>nsNSAIDs</w:t>
      </w:r>
      <w:proofErr w:type="spellEnd"/>
      <w:r>
        <w:t xml:space="preserve">) have been associated with adverse cardiovascular (CV) effects. We compared the cardiovascular safety of switching to celecoxib versus continuing </w:t>
      </w:r>
      <w:proofErr w:type="spellStart"/>
      <w:r>
        <w:t>nsNSAID</w:t>
      </w:r>
      <w:proofErr w:type="spellEnd"/>
      <w:r>
        <w:t xml:space="preserve"> therapy in a European setting.</w:t>
      </w:r>
    </w:p>
    <w:p w:rsidR="00FF5FA9" w:rsidRDefault="00FF5FA9" w:rsidP="00FF5FA9">
      <w:r>
        <w:t xml:space="preserve">Method </w:t>
      </w:r>
    </w:p>
    <w:p w:rsidR="00FF5FA9" w:rsidRDefault="00FF5FA9" w:rsidP="00FF5FA9">
      <w:r>
        <w:t xml:space="preserve">Patients aged 60 years and over with osteoarthritis or rheumatoid arthritis, free from established cardiovascular (CV) disease and taking chronic prescribed </w:t>
      </w:r>
      <w:proofErr w:type="spellStart"/>
      <w:r>
        <w:t>nsNSAIDs</w:t>
      </w:r>
      <w:proofErr w:type="spellEnd"/>
      <w:r>
        <w:t xml:space="preserve">, were randomised to switch to celecoxib or to continue their previous </w:t>
      </w:r>
      <w:proofErr w:type="spellStart"/>
      <w:r>
        <w:t>nsNSAID</w:t>
      </w:r>
      <w:proofErr w:type="spellEnd"/>
      <w:r>
        <w:t xml:space="preserve">. The primary endpoint was hospitalisation for non-fatal myocardial infarction or other biomarker positive acute coronary syndrome, non-fatal stroke or CV death analysed using a Cox model with a pre-specified non-inferiority limit of 1.4 for the hazard ratio. </w:t>
      </w:r>
    </w:p>
    <w:p w:rsidR="00FF5FA9" w:rsidRDefault="00FF5FA9" w:rsidP="00FF5FA9">
      <w:r>
        <w:t xml:space="preserve">Results </w:t>
      </w:r>
    </w:p>
    <w:p w:rsidR="00FF5FA9" w:rsidRDefault="00FF5FA9" w:rsidP="00FF5FA9">
      <w:r>
        <w:t xml:space="preserve">7,297 participants were randomised. During a median 3 years follow-up, fewer subjects than expected developed an on-treatment (OT) primary CV event and the rate was similar for celecoxib, 0.95 per 100 patient-years and </w:t>
      </w:r>
      <w:proofErr w:type="spellStart"/>
      <w:r>
        <w:t>nsNSAIDs</w:t>
      </w:r>
      <w:proofErr w:type="spellEnd"/>
      <w:r>
        <w:t xml:space="preserve">, 0.86 per 100 patient-years (hazard ratio = 1.12, 95% confidence interval, 0.81 to 1.55; p= 0.50). Comparable intention-to-treat (ITT) rates were 1.14 per 100 patient-years with celecoxib and 1.10 per 100 patient-years with </w:t>
      </w:r>
      <w:proofErr w:type="spellStart"/>
      <w:r>
        <w:t>nsNSAIDs</w:t>
      </w:r>
      <w:proofErr w:type="spellEnd"/>
      <w:r>
        <w:t xml:space="preserve"> (hazard ratio 1.04; 95% confidence interval, 0.81 to 1.33; p = 0.75). Pre-specified non-inferiority was achieved in the intention-to-treat analysis. The upper bound of the 95% confidence limit for the absolute increase in OT risk associated with celecoxib treatment was 2 primary events per 1000 patient-years exposure. There were only 15 adjudicated secondary upper gastrointestinal complication endpoints (0.078/100 patient years on celecoxib vs 0.053 on </w:t>
      </w:r>
      <w:proofErr w:type="spellStart"/>
      <w:r>
        <w:t>nsNSAIDs</w:t>
      </w:r>
      <w:proofErr w:type="spellEnd"/>
      <w:r>
        <w:t xml:space="preserve"> OT, 0.078 vs 0.053 ITT). More gastrointestinal serious ARs and haematological ARs were reported on </w:t>
      </w:r>
      <w:proofErr w:type="spellStart"/>
      <w:r>
        <w:t>nsNSAIDs</w:t>
      </w:r>
      <w:proofErr w:type="spellEnd"/>
      <w:r>
        <w:t xml:space="preserve"> than celecoxib, but more patients withdrew from celecoxib than </w:t>
      </w:r>
      <w:proofErr w:type="spellStart"/>
      <w:r>
        <w:t>nsNSAIDs</w:t>
      </w:r>
      <w:proofErr w:type="spellEnd"/>
      <w:r>
        <w:t xml:space="preserve"> (50.9% patients’ vs 30.2% P &lt; 0.0001).</w:t>
      </w:r>
    </w:p>
    <w:p w:rsidR="00FF5FA9" w:rsidRDefault="00FF5FA9" w:rsidP="00FF5FA9"/>
    <w:p w:rsidR="00FF5FA9" w:rsidRDefault="00FF5FA9" w:rsidP="00FF5FA9">
      <w:r>
        <w:t>Interpretation</w:t>
      </w:r>
    </w:p>
    <w:p w:rsidR="00FF5FA9" w:rsidRDefault="00FF5FA9" w:rsidP="00FF5FA9">
      <w:r>
        <w:t xml:space="preserve">In subjects 60 years and over, free from cardiovascular disease and taking prescribed chronic </w:t>
      </w:r>
      <w:proofErr w:type="spellStart"/>
      <w:r>
        <w:t>nsNSAIDs</w:t>
      </w:r>
      <w:proofErr w:type="spellEnd"/>
      <w:r>
        <w:t xml:space="preserve">, cardiovascular events were infrequent and similar on celecoxib and </w:t>
      </w:r>
      <w:proofErr w:type="spellStart"/>
      <w:r>
        <w:t>nsNSAIDs</w:t>
      </w:r>
      <w:proofErr w:type="spellEnd"/>
      <w:r>
        <w:t xml:space="preserve">. There was no advantage of a strategy of switching prescribed </w:t>
      </w:r>
      <w:proofErr w:type="spellStart"/>
      <w:r>
        <w:t>nsNSAIDs</w:t>
      </w:r>
      <w:proofErr w:type="spellEnd"/>
      <w:r>
        <w:t xml:space="preserve"> to prescribed celecoxib. The present study excluded an increased risk of the primary endpoint of more than 2 events per 1000 patient-years associated with switching to prescribed celecoxib. </w:t>
      </w:r>
    </w:p>
    <w:p w:rsidR="00FF5FA9" w:rsidRDefault="00FF5FA9" w:rsidP="00FF5FA9">
      <w:r>
        <w:t>Funding: The study was sponsored by the University of Dundee, with an unrestricted Investigator Initiated Research Grant from Pfizer USA.</w:t>
      </w:r>
    </w:p>
    <w:p w:rsidR="00FF5FA9" w:rsidRDefault="00FF5FA9" w:rsidP="00FF5FA9"/>
    <w:p w:rsidR="007003AD" w:rsidRDefault="00FF5FA9" w:rsidP="00FF5FA9">
      <w:r>
        <w:t xml:space="preserve">(Abstract word count: 341 words) </w:t>
      </w:r>
    </w:p>
    <w:sectPr w:rsidR="007003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5FA9"/>
    <w:rsid w:val="007003AD"/>
    <w:rsid w:val="00801DE3"/>
    <w:rsid w:val="00BD72E1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68AA47-C37D-4E1C-ABEF-8C3C950CD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Macdonald</dc:creator>
  <cp:keywords/>
  <dc:description/>
  <cp:lastModifiedBy>Tom Macdonald</cp:lastModifiedBy>
  <cp:revision>2</cp:revision>
  <dcterms:created xsi:type="dcterms:W3CDTF">2017-06-16T14:01:00Z</dcterms:created>
  <dcterms:modified xsi:type="dcterms:W3CDTF">2017-06-16T14:01:00Z</dcterms:modified>
</cp:coreProperties>
</file>